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41CA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阳江市妇幼保健院消防系统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护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保养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需求</w:t>
      </w:r>
    </w:p>
    <w:p w14:paraId="75A739D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49B1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一、项目基本概况</w:t>
      </w:r>
    </w:p>
    <w:p w14:paraId="064E5E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（一）医院位于阳江市江城区富康路南侧、新华路西侧，一期共有单体建筑 2 栋，分别为住院、门诊楼，地上 11 层，地下 1 层，地上建筑高 44.55m，地下室层高 4.5m，占地面积 6213.47 ㎡，地上建筑面积 34767.86 ㎡，地下建筑面积 6874.77 ㎡，总建筑面积 41642.63 ㎡，框架结构，耐火等级为一级。 住院、门诊楼地上部分设有住院大楼（主楼，11 层）和门诊楼（裙房，4 层），属一类高层公共建筑，裙房与主楼之间设有防火分隔。二期用地面积约13353 ㎡，建筑总面积约25493.07㎡。</w:t>
      </w:r>
    </w:p>
    <w:p w14:paraId="6A0391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（二）一期住院门诊楼，建筑面积 41642.63 ㎡</w:t>
      </w:r>
    </w:p>
    <w:p w14:paraId="1C9A2B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（三）一期人防工程，建筑面积5540㎡。</w:t>
      </w:r>
    </w:p>
    <w:p w14:paraId="617A17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（四）二期科教楼，建筑面积3467.88㎡。</w:t>
      </w:r>
    </w:p>
    <w:p w14:paraId="67CA0F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（五）托育综合服务中心，建筑面积2766.58㎡。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需出具独立的建筑消防设施维保报告）</w:t>
      </w:r>
    </w:p>
    <w:p w14:paraId="651F61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（六）二期人防工程，建筑面积3998.34㎡。</w:t>
      </w:r>
    </w:p>
    <w:p w14:paraId="488308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（七）总建筑面积57415.43㎡。</w:t>
      </w:r>
    </w:p>
    <w:p w14:paraId="60F1F8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hr-HR" w:eastAsia="zh-CN"/>
        </w:rPr>
        <w:t>（八）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hr-HR"/>
        </w:rPr>
        <w:t>阳江市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妇幼保健院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消防系统维护保养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hr-HR" w:eastAsia="zh-CN"/>
        </w:rPr>
        <w:t>具体包括：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消防供水设施、室内外消火栓给水系统、自动喷水灭火系统（含大空间智能型主动喷水灭火系统）、消防供配电系统、火灾自动报警系统（含电气火灾监控系统、城市远程监控系统）、机械加压送风防烟设施、机械排烟设施、防火分隔设施、 七氟丙烷气体灭火系统、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燃气控制报警系统、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应急照明灯具和灯光疏散指示标志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hr-HR" w:eastAsia="zh-CN"/>
        </w:rPr>
        <w:t>、灭火器、防烟面罩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7CFCDD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二、维护保养前的检测评估工作</w:t>
      </w:r>
    </w:p>
    <w:p w14:paraId="1C9CB0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为更好的做好维护保养工作，在维保前先对项目范围内进行一次整体的消防设施检测评估工作。依据《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"https://gf.cabr-fire.com/list-1538.htm" \t "https://gf.cabr-fire.com/_blank"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建筑防火通用规范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"https://gf.cabr-fire.com/list-1534.htm" \t "https://gf.cabr-fire.com/_blank"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消防设施通用规范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"https://gf.cabr-fire.com/list-991.htm" \t "https://gf.cabr-fire.com/_blank"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建筑设计防火规范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"https://gf.cabr-fire.com/list-2336.htm" \t "https://gf.cabr-fire.com/_blank"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建筑消防设施检测技术规范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"https://gf.cabr-fire.com/list-968.htm" \t "https://gf.cabr-fire.com/_blank"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自动喷水灭火系统施工及验收规范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"https://gf.cabr-fire.com/list-98.htm" \t "https://gf.cabr-fire.com/_blank"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消防给水及消火栓系统技术规范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"https://gf.cabr-fire.com/list-998.htm" \t "https://gf.cabr-fire.com/_blank"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建筑防烟排烟系统技术标准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》等现行国家相关消防规范要求严格对以下内容（包括但不限于）进行检测评估。</w:t>
      </w:r>
    </w:p>
    <w:p w14:paraId="1CE44A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2312" w:cs="Times New Roman"/>
          <w:b/>
          <w:bCs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消防供配电设施</w:t>
      </w:r>
    </w:p>
    <w:p w14:paraId="4AC6DF4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76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消防供配电设施的检测内容应包括消防配电、自备发电机组的发电机和储油设施、主备电切换功能。</w:t>
      </w:r>
    </w:p>
    <w:p w14:paraId="1A1037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Chars="0"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火灾自动报警系统</w:t>
      </w:r>
    </w:p>
    <w:p w14:paraId="165EC1B8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火灾自动报警系统的检测内容应包括火灾探测器、手动火灾报警按钮、火灾报警控制器、火灾显示盘、消防联动控制设备、消防控制室图形显示设备、气体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灭火系统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、电气火灾监控探测器、电气火灾监控设备、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城市远程监控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设备、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火灾警报装置和消防专用电话及系统功能。</w:t>
      </w:r>
    </w:p>
    <w:p w14:paraId="1EF12A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Chars="0"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消防应急广播系统</w:t>
      </w:r>
    </w:p>
    <w:p w14:paraId="7B4828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消防应急广播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系统的检测内容应包括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消防应急广播主机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功放机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分配盘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输出模块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音频线路、扬声器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6346FF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Chars="0"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消防应急照明和疏散指示系统</w:t>
      </w:r>
    </w:p>
    <w:p w14:paraId="01643A2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消防应急照明和疏散指示系统的检测内容应包括灯具、应急照明控制器、应急照明集中电源、应急照明配电箱及系统功能。</w:t>
      </w:r>
    </w:p>
    <w:p w14:paraId="52502C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Chars="0"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消防给水设施</w:t>
      </w:r>
    </w:p>
    <w:p w14:paraId="014D31B1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消防给水设施的检测内容应包括消防水池、消防水箱、消防水泵、稳压泵、气压水罐、水泵控制柜和水泵接合器以及主要阀门。</w:t>
      </w:r>
    </w:p>
    <w:p w14:paraId="561163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Chars="0"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灭火设施</w:t>
      </w:r>
    </w:p>
    <w:p w14:paraId="2491AC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灭火设施的检测内容应包括消火栓系统、消防炮、自动跟踪定位射流灭火系统、自动喷水灭火系统和七氟丙烷气体灭火系统等。各灭火设施的检测应包括以下内容：</w:t>
      </w:r>
    </w:p>
    <w:p w14:paraId="68DBA5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1.消火栓系统的检测内容包括室内消火栓、消火栓按钮、室外消火栓及系统功能；</w:t>
      </w:r>
    </w:p>
    <w:p w14:paraId="0CEF76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2.消防炮和自动跟踪定位射流灭火系统的检测内容包括控制装置、电（手）动阀门、启泵功能和系统功能；</w:t>
      </w:r>
    </w:p>
    <w:p w14:paraId="7B84BB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3.自动喷水灭火系统的检测内容包括报警阀组、水流指示器、压力开关、喷头、末端试水装置和系统功能；</w:t>
      </w:r>
    </w:p>
    <w:p w14:paraId="264B314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4.气体灭火系统的检测内容包括灭火剂和驱动气体的储存装置、喷嘴、气体灭火控制器和系统功能。</w:t>
      </w:r>
    </w:p>
    <w:p w14:paraId="2D7ADBA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76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防烟排烟系统</w:t>
      </w:r>
    </w:p>
    <w:p w14:paraId="269816E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1.机械加压送风系统的检测内容应包括送风机、送风阀（口）、可开启外窗、控制柜和系统功能。</w:t>
      </w:r>
    </w:p>
    <w:p w14:paraId="2ECC394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2.排烟系统的检测内容应包括排烟风机、补风机、排烟阀（口）、排烟防火阀、自然排烟窗（口）、挡烟垂壁、控制柜和系统功能。</w:t>
      </w:r>
    </w:p>
    <w:p w14:paraId="2FACA37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76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（八）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其他建筑消防设施</w:t>
      </w:r>
    </w:p>
    <w:p w14:paraId="2B4D71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其他建筑消防设施的检测内容，应包括防火门、防火卷帘、电动防火阀、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灭火器、防烟面罩、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消防电梯和消防救援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口等。</w:t>
      </w:r>
    </w:p>
    <w:p w14:paraId="00AFF16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三、消防设施维护保养方案</w:t>
      </w:r>
    </w:p>
    <w:p w14:paraId="10FED1E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维保目的及范围</w:t>
      </w:r>
    </w:p>
    <w:p w14:paraId="6B672FA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1.目的：为能对本项目的各类消防设施进行有效的维护及保养，使其处于最佳工作状态，保证在发生意外状况时立即发挥其作用，将人员及财产损失降至最低。</w:t>
      </w:r>
    </w:p>
    <w:p w14:paraId="204DBA3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2.范围：适用于本项目范围内所有消防设施设备。</w:t>
      </w:r>
    </w:p>
    <w:p w14:paraId="67D107E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维保参考规范</w:t>
      </w:r>
    </w:p>
    <w:p w14:paraId="089CADF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"https://gf.cabr-fire.com/list-1538.htm" \t "https://gf.cabr-fire.com/_blank"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建筑防火通用规范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"https://gf.cabr-fire.com/list-1534.htm" \t "https://gf.cabr-fire.com/_blank"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消防设施通用规范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"https://gf.cabr-fire.com/list-991.htm" \t "https://gf.cabr-fire.com/_blank"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建筑设计防火规范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"https://gf.cabr-fire.com/list-2336.htm" \t "https://gf.cabr-fire.com/_blank"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建筑消防设施检测技术规范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"https://gf.cabr-fire.com/list-968.htm" \t "https://gf.cabr-fire.com/_blank"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自动喷水灭火系统施工及验收规范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"https://gf.cabr-fire.com/list-98.htm" \t "https://gf.cabr-fire.com/_blank"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消防给水及消火栓系统技术规范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"https://gf.cabr-fire.com/list-998.htm" \t "https://gf.cabr-fire.com/_blank"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建筑防烟排烟系统技术标准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》等现行国家相关消防规范。</w:t>
      </w:r>
    </w:p>
    <w:p w14:paraId="31CDB3F4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576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仿宋_GB2312" w:cs="Times New Roman"/>
          <w:b/>
          <w:bCs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维保内容</w:t>
      </w:r>
    </w:p>
    <w:p w14:paraId="1DC8DC3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576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火灾自动报警系统维保检测方案</w:t>
      </w:r>
    </w:p>
    <w:p w14:paraId="4E52A93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消防控制中心巡查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每月1次，含报警控制器、联动柜、消防广播主机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等）。</w:t>
      </w:r>
    </w:p>
    <w:p w14:paraId="5EFE75F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消防配电房巡查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2311B5C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（3）检测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火灾报警控制器的自检、消音、复位、火灾优先、打印机打印、液晶显示器的显示功能及故障排除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6FF77E6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（4）检测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配电主、备电切换功能及故障排除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2951CA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（5）检测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联动控制设备联动状态和信号反馈功能及故障排除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3D5AFC4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（6）检测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火灾报警探测器、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手动报警按钮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报警功能及故障排除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每月1次，每次检查总数量的15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%且每年每个至少测试一次）。</w:t>
      </w:r>
    </w:p>
    <w:p w14:paraId="3082E70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（7）检测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监视、控制模块报警功能、报警位置及故障排除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每月1次，每次检查总数量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%且每年每个至少测试一次）。</w:t>
      </w:r>
    </w:p>
    <w:p w14:paraId="4F9D5FC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（8）检测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火灾自动报警系统联动功能及故障排除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270C23F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（9）检测消防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应急广播系统扬声器音量、音质及故障排除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每月1次，每次检查总数量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%且每年每个至少测试一次）。</w:t>
      </w:r>
    </w:p>
    <w:p w14:paraId="2545B4A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（10）检测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消防专用电话通话质量及故障排除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每月1次，每次检查总数量的15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%且每年每个至少测试一次）。</w:t>
      </w:r>
    </w:p>
    <w:p w14:paraId="45D5A03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（11）检测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消防电梯按钮迫降功能及故障排除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2F1BF1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检测消防电梯联动迫降功能及故障排除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12D5F5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检测消防供配电联动检查及故障排除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81729A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（14）检测自动消防控制系统整体联动控制功能（每年1次，应保证每年对每一个报警区域至少进行一次联动控制功能检测）。</w:t>
      </w:r>
    </w:p>
    <w:p w14:paraId="5568B2B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消火栓系统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维保检测方案</w:t>
      </w:r>
    </w:p>
    <w:p w14:paraId="5ED39DA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消防水泵房及消防水池巡查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477DF6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栓灭火系统巡查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每周1次，包括外围设备、管网及最不利点压力值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342E6BD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检测水泵控制柜电源指示、手、自动功能及故障排除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71126E4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检测消防水泵启泵和主、备泵切换功能及故障排除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53FE02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检测稳压泵、气压水罐、启泵、停泵时的压力、运行情况及故障排除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66B55FF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检测消火栓按钮启泵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每月1次，每次检查总数量的15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%且每年每个至少测试一次）。</w:t>
      </w:r>
    </w:p>
    <w:p w14:paraId="7CCAC19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检测消防水池储水量及故障排除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8F7D54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检测屋顶试验栓出水及静压及故障排除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BC6973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检测消防栓箱配件完好、水压力值及故障排除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每月1次，每次检查总数量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%且每年每个至少测试一次）。</w:t>
      </w:r>
    </w:p>
    <w:p w14:paraId="5753FDB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检测室内外消火栓出水及静压及故障排除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每月1次，每次检查总数量的15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%且每年每个至少测试一次）。</w:t>
      </w:r>
    </w:p>
    <w:p w14:paraId="46C8930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检测水泵接合器开、闭状态及故障排除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706083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检测阀门启、闭状态及故障排除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23AFC97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检测管道、支架牢固状态及故障排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2B83AF4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检测消防供水联动功能及故障排除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A1CBE6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检测消火栓灭火系统联动功能及故障排除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3951FB1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水泵控制柜保养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3D00354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消防水泵保养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6A048E2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压泵及气压水罐保养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38E5B81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管网保养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每半年1次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2015B8C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阀门保养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每半年1次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EC8C68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消火栓箱保养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1655D79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启泵按钮保养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6C4A00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室外消火栓保养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每半年1次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259EA60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自动喷水灭火系统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维保检测方案</w:t>
      </w:r>
    </w:p>
    <w:p w14:paraId="7907051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消防水泵房及消防水池巡查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49E51A4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湿式报警阀组巡查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672649D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自动喷水灭火系统巡查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E6C696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检测水泵控制柜电源指示、手、自动功能及故障排除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7C463FA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检测消防水泵启泵和主、备泵切换功能及故障排除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A4FA8D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检测稳压泵、气压水罐、启泵、停泵时的压力、运行情况及故障排除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D9D832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检测水泵接合器开、闭状态及故障排除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6431AC5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检测湿式报警阀组放水阀放水及压力开关动作信号及故障排除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22D0ED2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检测喷淋头状态及故障排除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每次检查总数量的15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%且每年每个至少测试一次）。</w:t>
      </w:r>
    </w:p>
    <w:p w14:paraId="33977D9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检测核对水流指示器反馈信号及故障排除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21C5FC9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检测末端试水装置末端放水及压力开关动作信号及故障排除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每月1次，每次检查总数量的25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%且每年每个至少测试一次）。</w:t>
      </w:r>
    </w:p>
    <w:p w14:paraId="34BEF9B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检测信号阀启、闭状态信号反馈功能及故障排除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2A73A57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检测闸阀启、闭状态及故障排除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E28F49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检测管道、支架牢固状态及故障排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42AB0E1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检测自动喷水灭火系统联动检查及故障排除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4C9809B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水泵控制柜保养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3B159E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消防水泵保养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D535CD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湿式报警阀保养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每半年1次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16C1DB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信号闸阀、闸阀保养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每半年1次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466CD7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水流指示器保养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每半年1次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4723EF1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喷淋头保养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每半年1次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4660009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室内外管道刷油保养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每半年1次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4EF82FF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3" w:firstLineChars="200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气体灭火系统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维保检测方案</w:t>
      </w:r>
    </w:p>
    <w:p w14:paraId="29B193A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气体灭火系统巡查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每周1次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43799DF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检测气体灭火控制箱电源指示、手动、自动控制功能及故障排除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4052F66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探测器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、紧急按钮报警功能及故障排除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749D0F3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检测动作报警信号反馈及故障排除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5DC03B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检测气体贮存器的贮存压力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6FF238C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检测气体灭火系统联动检查及故障排除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4EE375B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对气体灭火剂贮存容器、选择阀、单向阀、高压软管、集流管、驱动装置、管网与喷嘴等全部系统组件、设备保养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668C3FD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3" w:firstLineChars="200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送风、排烟系统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维保检测方案</w:t>
      </w:r>
    </w:p>
    <w:p w14:paraId="64BCD4B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消防风机房巡查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6E7B7A6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防烟排烟系统巡查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D9A8F8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检测消防风机控制柜电源指示、手、自动运行功能及故障排除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6636BF4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检测电动防火阀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手、自动功能及信号反馈及故障排除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C56D4C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检测送、排烟阀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手、自动功能及信号反馈及故障排除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6DA2FC4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检测核对送风口风速及故障排除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每季度1次，每次检查总数量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的15%）。</w:t>
      </w:r>
    </w:p>
    <w:p w14:paraId="1F52EAB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检测联动启动机械排烟风机及故障排除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E54617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检测联动启动机械加压送风机及故障排除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1A3F397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机械加压送风机保养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6433450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机械排烟风机保养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1B67AD3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排烟阀、防火阀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排烟防火阀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18025DD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防火门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维保检测方案</w:t>
      </w:r>
    </w:p>
    <w:p w14:paraId="6739267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防火门巡查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275ED3F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手动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启防火门，检查防火门开关功能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每次检查总数量的15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%且每年每个至少测试一次）。</w:t>
      </w:r>
    </w:p>
    <w:p w14:paraId="3DEBD3E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检测查防火门周围是否有障碍物及开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方向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每次检查总数量的15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%且每年每个至少测试一次）。</w:t>
      </w:r>
    </w:p>
    <w:p w14:paraId="11D7C63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防火门保养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每半年1次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12E7540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防火卷帘系统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维保检测方案</w:t>
      </w:r>
    </w:p>
    <w:p w14:paraId="173495D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防火卷帘系统巡查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2C347E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检测防火卷帘上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下降、停止功能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季度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3C1DCA8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检测防火卷帘动作信号反馈及故障排除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季度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F57DF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检测防火卷帘手动、机械应急和自动控制功能及故障排除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492EF31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检测防火卷帘联动检查及故障排除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每季度1次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4D718CB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防火卷帘保养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每半年1次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5A575B9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消防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应急照明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和疏散指示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系统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维保检测方案</w:t>
      </w:r>
    </w:p>
    <w:p w14:paraId="347CE3A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应急照明和疏散指示标志巡查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每周1次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37B845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检测应急照明切断正常供电电源后，测量蓄电池供点状态下照度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供电时间及故障排除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每月1次，每次检查总数量的15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%且每年每个至少测试一次）。</w:t>
      </w:r>
    </w:p>
    <w:p w14:paraId="051B8CC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检测疏散指示标志切断正常供电电源后，测量蓄电池供电状态下照度及供电时间及故障排除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每月1次，每次检查总数量的15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%且每年每个至少测试一次）。</w:t>
      </w:r>
    </w:p>
    <w:p w14:paraId="0415187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应急照明和疏散指示标志保养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每半年1次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6F77C0C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灭火器材巡查、检查、测试、保养要求</w:t>
      </w:r>
    </w:p>
    <w:p w14:paraId="7A3B735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灭火器巡查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4E3F9A9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查干粉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水基型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灭火器压力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9A1C6C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灭火器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外观与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有效期限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并对灭火器箱张贴封条（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每月1次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789ACEB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查二氧化碳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灭火器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重量（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季度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33E4975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5）检查灭火器位置是否按管理单位最新规划位置进行摆放，不得随意挪作它用，摆放稳固，没有埋压，灭火器不得上锁，避免日光曝晒和强辐射热（每月1次）。</w:t>
      </w:r>
    </w:p>
    <w:p w14:paraId="4BC1229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6）检查铅封及插销是否均完好无损，未曾动用，必要时，进行喷射试验（每月1次）。</w:t>
      </w:r>
    </w:p>
    <w:p w14:paraId="4489C2BA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四、其他要求</w:t>
      </w:r>
    </w:p>
    <w:p w14:paraId="2A6AFC5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（一）进场前应与甲方、原维保单位对项目范围内消防设施运行情况进行技术交接。</w:t>
      </w:r>
    </w:p>
    <w:p w14:paraId="6B655AE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维保单位应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项目范围内所有消防设施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系统正常工作。</w:t>
      </w:r>
    </w:p>
    <w:p w14:paraId="6777E9E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维保单位应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消防设施维护保养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所必需的设备和专业技术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力量。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项目负责人及技术负责人应具有一级注册消防工程师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执业资格并具备相关工作经验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维护保养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操作的人员应具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中级消防设施操作员（检测维保方向）或四级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中级建（构）筑物消防员以上证书。</w:t>
      </w:r>
    </w:p>
    <w:p w14:paraId="3FB094C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设备发生故障，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维保单位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接收到故障信息或接到使用方通知十二小时内派人到达现场，二十四小时内检修解除故障。在确实没有配件的情况下应及时向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汇报，并采取有效的应急措施，防止出现安全事故。</w:t>
      </w:r>
    </w:p>
    <w:p w14:paraId="7B4AF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（五）如有紧急或重要任务，当甲方提出需求后，维保单位应当紧密配合，按时按要求完成维护服务工作。</w:t>
      </w:r>
    </w:p>
    <w:p w14:paraId="7A1B78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提供详细的月检、季检及年度试验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记录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并出具建筑消防设施维保报告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FECAF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2414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阳江市妇幼保健院</w:t>
      </w:r>
    </w:p>
    <w:p w14:paraId="1B164A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2026年4月8日</w:t>
      </w:r>
    </w:p>
    <w:p w14:paraId="5F76423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BD07D3-B46C-447A-AE43-9E3A23595B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04E33B0-82E8-43A8-AD32-498AE15C5B9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55A422-1252-4588-A6D5-406122B5841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70A14ED-C582-4AD2-9A98-FDF25667E17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DE3218A-9DCA-4CA9-8469-68471D164B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B8C9362-D8DD-42A7-BA76-3428020EDE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D351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C698C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C698C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97F5E"/>
    <w:rsid w:val="021F7DC1"/>
    <w:rsid w:val="046B6164"/>
    <w:rsid w:val="05CA273A"/>
    <w:rsid w:val="07BB5654"/>
    <w:rsid w:val="08151886"/>
    <w:rsid w:val="0878647D"/>
    <w:rsid w:val="092403B3"/>
    <w:rsid w:val="0976351A"/>
    <w:rsid w:val="097A207F"/>
    <w:rsid w:val="09822228"/>
    <w:rsid w:val="09D26061"/>
    <w:rsid w:val="0A68201D"/>
    <w:rsid w:val="0AAD28DF"/>
    <w:rsid w:val="0B6E3B68"/>
    <w:rsid w:val="0D0A78C0"/>
    <w:rsid w:val="0F1C3AFD"/>
    <w:rsid w:val="0FE10DAC"/>
    <w:rsid w:val="0FFF56D6"/>
    <w:rsid w:val="16523F5C"/>
    <w:rsid w:val="16907088"/>
    <w:rsid w:val="16AE61C8"/>
    <w:rsid w:val="16EB2510"/>
    <w:rsid w:val="174340FA"/>
    <w:rsid w:val="17984446"/>
    <w:rsid w:val="19C66357"/>
    <w:rsid w:val="1A402B73"/>
    <w:rsid w:val="1A4563DB"/>
    <w:rsid w:val="1AB64BE3"/>
    <w:rsid w:val="1AF776D6"/>
    <w:rsid w:val="1C7664A0"/>
    <w:rsid w:val="1D2E1940"/>
    <w:rsid w:val="1D862F93"/>
    <w:rsid w:val="1DD7262E"/>
    <w:rsid w:val="201605FE"/>
    <w:rsid w:val="20FB77F4"/>
    <w:rsid w:val="226D4721"/>
    <w:rsid w:val="241D2D3E"/>
    <w:rsid w:val="24DD793C"/>
    <w:rsid w:val="24E81BC5"/>
    <w:rsid w:val="27274E8A"/>
    <w:rsid w:val="294C1DD2"/>
    <w:rsid w:val="29831EE1"/>
    <w:rsid w:val="2B88437A"/>
    <w:rsid w:val="2C704643"/>
    <w:rsid w:val="2C98683F"/>
    <w:rsid w:val="2D1C121E"/>
    <w:rsid w:val="2DDD275B"/>
    <w:rsid w:val="324317DF"/>
    <w:rsid w:val="33574D5E"/>
    <w:rsid w:val="341E7629"/>
    <w:rsid w:val="36EC6BB7"/>
    <w:rsid w:val="3816221F"/>
    <w:rsid w:val="385C2733"/>
    <w:rsid w:val="3905700A"/>
    <w:rsid w:val="3BBD3BCC"/>
    <w:rsid w:val="3BDB5C16"/>
    <w:rsid w:val="3C241E9D"/>
    <w:rsid w:val="3F373621"/>
    <w:rsid w:val="401A15ED"/>
    <w:rsid w:val="40FA4F7A"/>
    <w:rsid w:val="42293D69"/>
    <w:rsid w:val="433B1FA6"/>
    <w:rsid w:val="49F7474D"/>
    <w:rsid w:val="4A0B01F8"/>
    <w:rsid w:val="4BFC189F"/>
    <w:rsid w:val="4D4001B9"/>
    <w:rsid w:val="51106D4F"/>
    <w:rsid w:val="51752B27"/>
    <w:rsid w:val="544762D1"/>
    <w:rsid w:val="545804DE"/>
    <w:rsid w:val="556F788D"/>
    <w:rsid w:val="56424FA2"/>
    <w:rsid w:val="5952374E"/>
    <w:rsid w:val="59771406"/>
    <w:rsid w:val="5AD923F2"/>
    <w:rsid w:val="5C45759A"/>
    <w:rsid w:val="5DCA7D57"/>
    <w:rsid w:val="5F525A26"/>
    <w:rsid w:val="60B44CEE"/>
    <w:rsid w:val="60BB607C"/>
    <w:rsid w:val="60DF4D5B"/>
    <w:rsid w:val="61C947C9"/>
    <w:rsid w:val="6609788A"/>
    <w:rsid w:val="670A38BA"/>
    <w:rsid w:val="671B5AC7"/>
    <w:rsid w:val="69E77EE2"/>
    <w:rsid w:val="69FB2B88"/>
    <w:rsid w:val="6A2A1078"/>
    <w:rsid w:val="6B13036A"/>
    <w:rsid w:val="6B492C89"/>
    <w:rsid w:val="6BEA1F9B"/>
    <w:rsid w:val="6F211860"/>
    <w:rsid w:val="70251764"/>
    <w:rsid w:val="706E531C"/>
    <w:rsid w:val="71956476"/>
    <w:rsid w:val="722515A8"/>
    <w:rsid w:val="72712A3F"/>
    <w:rsid w:val="72BF298C"/>
    <w:rsid w:val="749E5641"/>
    <w:rsid w:val="782F13D2"/>
    <w:rsid w:val="7A8F43AA"/>
    <w:rsid w:val="7B0A3A31"/>
    <w:rsid w:val="7BC91AAA"/>
    <w:rsid w:val="7CBB1A32"/>
    <w:rsid w:val="7CC16371"/>
    <w:rsid w:val="7E66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2">
    <w:name w:val="font21"/>
    <w:basedOn w:val="8"/>
    <w:qFormat/>
    <w:uiPriority w:val="0"/>
    <w:rPr>
      <w:rFonts w:ascii="Calibri" w:hAnsi="Calibri" w:cs="Calibri"/>
      <w:color w:val="000000"/>
      <w:sz w:val="40"/>
      <w:szCs w:val="40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8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paragraph" w:customStyle="1" w:styleId="15">
    <w:name w:val="List Paragraph"/>
    <w:basedOn w:val="1"/>
    <w:qFormat/>
    <w:uiPriority w:val="1"/>
    <w:pPr>
      <w:spacing w:before="139"/>
      <w:ind w:left="800" w:hanging="85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5234</Words>
  <Characters>5398</Characters>
  <Lines>0</Lines>
  <Paragraphs>0</Paragraphs>
  <TotalTime>0</TotalTime>
  <ScaleCrop>false</ScaleCrop>
  <LinksUpToDate>false</LinksUpToDate>
  <CharactersWithSpaces>5421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2024-11-13T00:19:00Z</dcterms:created>
  <dc:creator>admin</dc:creator>
  <cp:lastModifiedBy>玉玺</cp:lastModifiedBy>
  <cp:lastPrinted>2024-11-13T01:42:00Z</cp:lastPrinted>
  <dcterms:modified xsi:type="dcterms:W3CDTF">2026-04-20T01:16:42Z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D40DF0D38AAF404F9AC5A0A0D402A479_13</vt:lpwstr>
  </property>
  <property fmtid="{D5CDD505-2E9C-101B-9397-08002B2CF9AE}" pid="4" name="KSOTemplateDocerSaveRecord">
    <vt:lpwstr>eyJoZGlkIjoiNmU0YmMyMDM4N2QyMGUzYzNmMDJmZWRkYzljZGE1MDEiLCJ1c2VySWQiOiI0MzQ2Mzc4NDAifQ==</vt:lpwstr>
  </property>
</Properties>
</file>